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80" w:lineRule="exact"/>
        <w:rPr>
          <w:rFonts w:hint="eastAsia" w:ascii="FangSong_GB2312" w:hAnsi="FangSong_GB2312" w:eastAsia="SimHei" w:cs="FangSong_GB2312"/>
          <w:sz w:val="32"/>
          <w:szCs w:val="32"/>
          <w:lang w:eastAsia="zh-CN"/>
        </w:rPr>
      </w:pPr>
      <w:r>
        <w:rPr>
          <w:rFonts w:hint="eastAsia" w:ascii="SimHei" w:hAnsi="SimHei" w:eastAsia="SimHei" w:cs="SimHei"/>
          <w:sz w:val="32"/>
          <w:szCs w:val="32"/>
        </w:rPr>
        <w:t>附件</w:t>
      </w:r>
      <w:r>
        <w:rPr>
          <w:rFonts w:hint="eastAsia" w:ascii="SimHei" w:hAnsi="SimHei" w:eastAsia="SimHei" w:cs="SimHei"/>
          <w:sz w:val="32"/>
          <w:szCs w:val="32"/>
          <w:lang w:val="en-US" w:eastAsia="zh-CN"/>
        </w:rPr>
        <w:t>7</w:t>
      </w:r>
    </w:p>
    <w:p>
      <w:pPr>
        <w:spacing w:line="600" w:lineRule="exact"/>
        <w:jc w:val="center"/>
        <w:outlineLvl w:val="0"/>
        <w:rPr>
          <w:rFonts w:hint="eastAsia" w:ascii="SimHei" w:hAnsi="SimHei" w:eastAsia="SimHei"/>
          <w:color w:val="000000"/>
          <w:sz w:val="44"/>
          <w:szCs w:val="44"/>
          <w:lang w:eastAsia="zh-CN"/>
        </w:rPr>
      </w:pPr>
    </w:p>
    <w:p>
      <w:pPr>
        <w:spacing w:line="600" w:lineRule="exact"/>
        <w:jc w:val="center"/>
        <w:outlineLvl w:val="0"/>
        <w:rPr>
          <w:rFonts w:hint="eastAsia" w:ascii="SimHei" w:hAnsi="SimHei" w:eastAsia="SimHei"/>
          <w:color w:val="000000"/>
          <w:sz w:val="44"/>
          <w:szCs w:val="44"/>
          <w:lang w:eastAsia="zh-CN"/>
        </w:rPr>
      </w:pPr>
      <w:bookmarkStart w:id="0" w:name="_Toc18884_WPSOffice_Level2"/>
      <w:r>
        <w:rPr>
          <w:rFonts w:hint="eastAsia" w:ascii="SimHei" w:hAnsi="SimHei" w:eastAsia="SimHei"/>
          <w:color w:val="000000"/>
          <w:sz w:val="44"/>
          <w:szCs w:val="44"/>
          <w:lang w:eastAsia="zh-CN"/>
        </w:rPr>
        <w:t>全国及省市县“两会”经费项目</w:t>
      </w:r>
      <w:bookmarkEnd w:id="0"/>
    </w:p>
    <w:p>
      <w:pPr>
        <w:spacing w:line="600" w:lineRule="exact"/>
        <w:jc w:val="center"/>
        <w:outlineLvl w:val="0"/>
        <w:rPr>
          <w:rFonts w:hint="default" w:ascii="SimHei" w:hAnsi="SimHei" w:eastAsia="SimHei"/>
          <w:color w:val="000000"/>
          <w:sz w:val="44"/>
          <w:szCs w:val="44"/>
          <w:lang w:val="en-US" w:eastAsia="zh-CN"/>
        </w:rPr>
      </w:pPr>
      <w:bookmarkStart w:id="1" w:name="_Toc18228_WPSOffice_Level2"/>
      <w:r>
        <w:rPr>
          <w:rFonts w:hint="eastAsia" w:ascii="SimHei" w:hAnsi="SimHei" w:eastAsia="SimHei"/>
          <w:color w:val="000000"/>
          <w:sz w:val="44"/>
          <w:szCs w:val="44"/>
          <w:lang w:val="en-US" w:eastAsia="zh-CN"/>
        </w:rPr>
        <w:t>2022年绩效评价报告</w:t>
      </w:r>
      <w:bookmarkEnd w:id="1"/>
    </w:p>
    <w:p>
      <w:pPr>
        <w:spacing w:line="600" w:lineRule="exact"/>
        <w:ind w:firstLine="2640" w:firstLineChars="600"/>
        <w:jc w:val="both"/>
        <w:outlineLvl w:val="0"/>
        <w:rPr>
          <w:rFonts w:hint="eastAsia" w:ascii="SimHei" w:hAnsi="SimHei" w:eastAsia="SimHei"/>
          <w:color w:val="000000"/>
          <w:sz w:val="44"/>
          <w:szCs w:val="44"/>
        </w:rPr>
      </w:pPr>
    </w:p>
    <w:p>
      <w:pPr>
        <w:adjustRightInd w:val="0"/>
        <w:snapToGrid w:val="0"/>
        <w:spacing w:line="600" w:lineRule="exact"/>
        <w:ind w:firstLine="720"/>
        <w:rPr>
          <w:rFonts w:hint="eastAsia" w:ascii="SimHei" w:hAnsi="SimSun" w:eastAsia="SimHei"/>
          <w:sz w:val="32"/>
          <w:szCs w:val="32"/>
          <w:lang w:val="zh-CN"/>
        </w:rPr>
      </w:pPr>
      <w:bookmarkStart w:id="2" w:name="_Toc26095_WPSOffice_Level2"/>
      <w:r>
        <w:rPr>
          <w:rFonts w:hint="eastAsia" w:ascii="SimHei" w:hAnsi="SimSun" w:eastAsia="SimHei"/>
          <w:sz w:val="32"/>
          <w:szCs w:val="32"/>
        </w:rPr>
        <w:t>一、</w:t>
      </w:r>
      <w:r>
        <w:rPr>
          <w:rFonts w:hint="eastAsia" w:ascii="SimHei" w:hAnsi="SimSun" w:eastAsia="SimHei"/>
          <w:sz w:val="32"/>
          <w:szCs w:val="32"/>
          <w:lang w:val="zh-CN"/>
        </w:rPr>
        <w:t>项目概况</w:t>
      </w:r>
      <w:bookmarkEnd w:id="2"/>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bookmarkStart w:id="3" w:name="_Toc30949_WPSOffice_Level3"/>
      <w:r>
        <w:rPr>
          <w:rFonts w:hint="eastAsia" w:ascii="KaiTi_GB2312" w:hAnsi="SimSun" w:eastAsia="KaiTi_GB2312"/>
          <w:b/>
          <w:sz w:val="32"/>
          <w:szCs w:val="32"/>
          <w:lang w:val="zh-CN"/>
        </w:rPr>
        <w:t>（一）项目基本情况</w:t>
      </w:r>
      <w:r>
        <w:rPr>
          <w:rFonts w:hint="eastAsia" w:ascii="KaiTi_GB2312" w:hAnsi="SimSun" w:eastAsia="KaiTi_GB2312"/>
          <w:b/>
          <w:lang w:val="zh-CN"/>
        </w:rPr>
        <w:t>。</w:t>
      </w:r>
      <w:bookmarkEnd w:id="3"/>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1．</w:t>
      </w: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经费项目是</w:t>
      </w:r>
      <w:r>
        <w:rPr>
          <w:rFonts w:hint="eastAsia" w:ascii="FangSong_GB2312" w:hAnsi="SimSun" w:eastAsia="FangSong_GB2312"/>
          <w:sz w:val="32"/>
          <w:szCs w:val="32"/>
          <w:lang w:val="zh-CN" w:eastAsia="zh-CN"/>
        </w:rPr>
        <w:t>峨边彝族自治县信访局（以下简称县信访局）的单位专项行政运行预算项目，县信访是根据每年参加全国及省市县“两会”</w:t>
      </w:r>
      <w:r>
        <w:rPr>
          <w:rFonts w:hint="eastAsia" w:ascii="FangSong_GB2312" w:hAnsi="SimSun" w:eastAsia="FangSong_GB2312"/>
          <w:sz w:val="32"/>
          <w:szCs w:val="32"/>
          <w:lang w:val="en-US" w:eastAsia="zh-CN"/>
        </w:rPr>
        <w:t>8次</w:t>
      </w:r>
      <w:r>
        <w:rPr>
          <w:rFonts w:hint="eastAsia" w:ascii="FangSong_GB2312" w:hAnsi="SimSun" w:eastAsia="FangSong_GB2312"/>
          <w:sz w:val="32"/>
          <w:szCs w:val="32"/>
          <w:lang w:val="zh-CN" w:eastAsia="zh-CN"/>
        </w:rPr>
        <w:t>信访稳定工作进行经费预算，县信访局负责对单位预算专项</w:t>
      </w:r>
      <w:r>
        <w:rPr>
          <w:rFonts w:hint="eastAsia" w:ascii="FangSong_GB2312" w:hAnsi="SimSun" w:eastAsia="FangSong_GB2312"/>
          <w:sz w:val="32"/>
          <w:szCs w:val="32"/>
          <w:lang w:val="en-US" w:eastAsia="zh-CN"/>
        </w:rPr>
        <w:t>全国及省市县“两会”经费</w:t>
      </w:r>
      <w:r>
        <w:rPr>
          <w:rFonts w:hint="eastAsia" w:ascii="FangSong_GB2312" w:hAnsi="SimSun" w:eastAsia="FangSong_GB2312"/>
          <w:sz w:val="32"/>
          <w:szCs w:val="32"/>
          <w:lang w:val="zh-CN" w:eastAsia="zh-CN"/>
        </w:rPr>
        <w:t>项目实施管理。</w:t>
      </w:r>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2．</w:t>
      </w: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经费项目是根据本级信访工作安排进行的</w:t>
      </w:r>
      <w:r>
        <w:rPr>
          <w:rFonts w:hint="eastAsia" w:ascii="FangSong_GB2312" w:hAnsi="SimSun" w:eastAsia="FangSong_GB2312"/>
          <w:sz w:val="32"/>
          <w:szCs w:val="32"/>
          <w:lang w:val="zh-CN" w:eastAsia="zh-CN"/>
        </w:rPr>
        <w:t>立项项目，资金申报依据对</w:t>
      </w:r>
      <w:r>
        <w:rPr>
          <w:rFonts w:hint="eastAsia" w:ascii="FangSong_GB2312" w:hAnsi="SimSun" w:eastAsia="FangSong_GB2312"/>
          <w:sz w:val="32"/>
          <w:szCs w:val="32"/>
          <w:lang w:val="en-US" w:eastAsia="zh-CN"/>
        </w:rPr>
        <w:t>2006年成立信访局以来每年参加中省市县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的工作开展实际情况</w:t>
      </w:r>
      <w:r>
        <w:rPr>
          <w:rFonts w:hint="eastAsia" w:ascii="FangSong_GB2312" w:hAnsi="SimSun" w:eastAsia="FangSong_GB2312"/>
          <w:sz w:val="32"/>
          <w:szCs w:val="32"/>
          <w:lang w:val="zh-CN" w:eastAsia="zh-CN"/>
        </w:rPr>
        <w:t>进行预算。</w:t>
      </w:r>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3．</w:t>
      </w: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管理是按每次参加会期信访稳定工作人员根据财政制定的差旅管理办法的报销标准进行实报实销。资金的使用范围：</w:t>
      </w:r>
      <w:r>
        <w:rPr>
          <w:rFonts w:hint="eastAsia" w:ascii="FangSong_GB2312" w:hAnsi="SimSun" w:eastAsia="FangSong_GB2312"/>
          <w:sz w:val="32"/>
          <w:szCs w:val="32"/>
          <w:lang w:val="en-US" w:eastAsia="zh-CN"/>
        </w:rPr>
        <w:t>2022年该项目资金使用范围为全县各单位部门抽调参加各级“两会”信访稳定工作人员</w:t>
      </w:r>
      <w:r>
        <w:rPr>
          <w:rFonts w:hint="eastAsia" w:ascii="FangSong_GB2312" w:hAnsi="SimSun" w:eastAsia="FangSong_GB2312"/>
          <w:sz w:val="32"/>
          <w:szCs w:val="32"/>
          <w:lang w:val="zh-CN" w:eastAsia="zh-CN"/>
        </w:rPr>
        <w:t>。</w:t>
      </w:r>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4．</w:t>
      </w: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使用经济科目为差旅费。</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bookmarkStart w:id="4" w:name="_Toc20304_WPSOffice_Level3"/>
      <w:r>
        <w:rPr>
          <w:rFonts w:hint="eastAsia" w:ascii="KaiTi_GB2312" w:hAnsi="SimSun" w:eastAsia="KaiTi_GB2312"/>
          <w:b/>
          <w:sz w:val="32"/>
          <w:szCs w:val="32"/>
          <w:lang w:val="zh-CN"/>
        </w:rPr>
        <w:t>（二）项目绩效目标。</w:t>
      </w:r>
      <w:bookmarkEnd w:id="4"/>
    </w:p>
    <w:p>
      <w:pPr>
        <w:adjustRightInd w:val="0"/>
        <w:snapToGrid w:val="0"/>
        <w:spacing w:line="600" w:lineRule="exact"/>
        <w:ind w:firstLine="720"/>
        <w:rPr>
          <w:rFonts w:hint="default" w:ascii="FangSong_GB2312" w:hAnsi="SimSun" w:eastAsia="FangSong_GB2312"/>
          <w:sz w:val="32"/>
          <w:szCs w:val="32"/>
          <w:lang w:val="en-US" w:eastAsia="zh-CN"/>
        </w:rPr>
      </w:pPr>
      <w:r>
        <w:rPr>
          <w:rFonts w:hint="eastAsia" w:ascii="FangSong_GB2312" w:hAnsi="SimSun" w:eastAsia="FangSong_GB2312"/>
          <w:sz w:val="32"/>
          <w:szCs w:val="32"/>
          <w:lang w:val="zh-CN" w:eastAsia="zh-CN"/>
        </w:rPr>
        <w:t>1．</w:t>
      </w:r>
      <w:r>
        <w:rPr>
          <w:rFonts w:hint="eastAsia" w:ascii="FangSong_GB2312" w:hAnsi="SimSun" w:eastAsia="FangSong_GB2312"/>
          <w:sz w:val="32"/>
          <w:szCs w:val="32"/>
          <w:lang w:val="en-US" w:eastAsia="zh-CN"/>
        </w:rPr>
        <w:t>全国及省市县两会经费项目</w:t>
      </w:r>
      <w:r>
        <w:rPr>
          <w:rFonts w:hint="eastAsia" w:ascii="FangSong_GB2312" w:hAnsi="SimSun" w:eastAsia="FangSong_GB2312"/>
          <w:sz w:val="32"/>
          <w:szCs w:val="32"/>
          <w:lang w:val="zh-CN" w:eastAsia="zh-CN"/>
        </w:rPr>
        <w:t>是按上年度惯例</w:t>
      </w:r>
      <w:r>
        <w:rPr>
          <w:rFonts w:hint="eastAsia" w:ascii="FangSong_GB2312" w:hAnsi="SimSun" w:eastAsia="FangSong_GB2312"/>
          <w:sz w:val="32"/>
          <w:szCs w:val="32"/>
          <w:lang w:val="en-US" w:eastAsia="zh-CN"/>
        </w:rPr>
        <w:t>3万元</w:t>
      </w:r>
      <w:r>
        <w:rPr>
          <w:rFonts w:hint="eastAsia" w:ascii="FangSong_GB2312" w:hAnsi="SimSun" w:eastAsia="FangSong_GB2312"/>
          <w:sz w:val="32"/>
          <w:szCs w:val="32"/>
          <w:lang w:val="zh-CN" w:eastAsia="zh-CN"/>
        </w:rPr>
        <w:t>进行预算申报。</w:t>
      </w:r>
      <w:r>
        <w:rPr>
          <w:rFonts w:hint="eastAsia" w:ascii="FangSong_GB2312" w:hAnsi="SimSun" w:eastAsia="FangSong_GB2312"/>
          <w:sz w:val="32"/>
          <w:szCs w:val="32"/>
          <w:lang w:val="en-US" w:eastAsia="zh-CN"/>
        </w:rPr>
        <w:t>2022年度共参加全国及省市县“两会”信访稳定工作8次。</w:t>
      </w:r>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2</w:t>
      </w:r>
      <w:r>
        <w:rPr>
          <w:rFonts w:hint="eastAsia" w:ascii="FangSong_GB2312" w:hAnsi="SimSun" w:eastAsia="FangSong_GB2312"/>
          <w:sz w:val="32"/>
          <w:szCs w:val="32"/>
          <w:lang w:val="zh-CN" w:eastAsia="zh-CN"/>
        </w:rPr>
        <w:t>．</w:t>
      </w: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是应工作需要安排的长期性工作支出经费，与工作实际相符，申报合理可行。</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bookmarkStart w:id="5" w:name="_Toc22049_WPSOffice_Level3"/>
      <w:r>
        <w:rPr>
          <w:rFonts w:hint="eastAsia" w:ascii="KaiTi_GB2312" w:hAnsi="SimSun" w:eastAsia="KaiTi_GB2312"/>
          <w:b/>
          <w:sz w:val="32"/>
          <w:szCs w:val="32"/>
          <w:lang w:val="zh-CN"/>
        </w:rPr>
        <w:t>（三）项目自评步骤及方法。</w:t>
      </w:r>
      <w:bookmarkEnd w:id="5"/>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绩效自评采用的组织实施步骤按上年度工作需要安排，进行该项目经费预算。资金使用方式是预算控制范围内据实报账。</w:t>
      </w:r>
    </w:p>
    <w:p>
      <w:pPr>
        <w:adjustRightInd w:val="0"/>
        <w:snapToGrid w:val="0"/>
        <w:spacing w:line="600" w:lineRule="exact"/>
        <w:ind w:firstLine="720"/>
        <w:rPr>
          <w:rFonts w:hint="eastAsia" w:ascii="SimHei" w:hAnsi="SimSun" w:eastAsia="SimHei"/>
          <w:sz w:val="32"/>
          <w:szCs w:val="32"/>
          <w:lang w:val="zh-CN"/>
        </w:rPr>
      </w:pPr>
      <w:bookmarkStart w:id="6" w:name="_Toc1740_WPSOffice_Level2"/>
      <w:r>
        <w:rPr>
          <w:rFonts w:hint="eastAsia" w:ascii="SimHei" w:hAnsi="SimSun" w:eastAsia="SimHei"/>
          <w:sz w:val="32"/>
          <w:szCs w:val="32"/>
          <w:lang w:val="zh-CN"/>
        </w:rPr>
        <w:t>二、项目资金申报及使用情况</w:t>
      </w:r>
      <w:bookmarkEnd w:id="6"/>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KaiTi_GB2312" w:hAnsi="SimSun" w:eastAsia="KaiTi_GB2312"/>
          <w:b/>
          <w:sz w:val="32"/>
          <w:szCs w:val="32"/>
          <w:lang w:val="zh-CN"/>
        </w:rPr>
      </w:pPr>
      <w:bookmarkStart w:id="7" w:name="_Toc16808_WPSOffice_Level3"/>
      <w:r>
        <w:rPr>
          <w:rFonts w:hint="eastAsia" w:ascii="KaiTi_GB2312" w:hAnsi="SimSun" w:eastAsia="KaiTi_GB2312"/>
          <w:b/>
          <w:sz w:val="32"/>
          <w:szCs w:val="32"/>
          <w:lang w:val="zh-CN"/>
        </w:rPr>
        <w:t>（一）项目资金申报及批复情况。</w:t>
      </w:r>
      <w:bookmarkEnd w:id="7"/>
    </w:p>
    <w:p>
      <w:pPr>
        <w:adjustRightInd w:val="0"/>
        <w:snapToGrid w:val="0"/>
        <w:spacing w:line="600" w:lineRule="exact"/>
        <w:ind w:firstLine="720"/>
        <w:rPr>
          <w:rFonts w:hint="default" w:ascii="FangSong_GB2312" w:hAnsi="SimSun" w:eastAsia="FangSong_GB2312"/>
          <w:sz w:val="32"/>
          <w:szCs w:val="32"/>
          <w:lang w:val="en-US" w:eastAsia="zh-CN"/>
        </w:rPr>
      </w:pP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经费项目2022年预算资金3万元，财政拨款3万元，拨款率100%。</w:t>
      </w:r>
    </w:p>
    <w:p>
      <w:pPr>
        <w:keepNext w:val="0"/>
        <w:keepLines w:val="0"/>
        <w:pageBreakBefore w:val="0"/>
        <w:kinsoku/>
        <w:wordWrap/>
        <w:overflowPunct/>
        <w:topLinePunct w:val="0"/>
        <w:autoSpaceDE/>
        <w:autoSpaceDN/>
        <w:bidi w:val="0"/>
        <w:adjustRightInd w:val="0"/>
        <w:snapToGrid w:val="0"/>
        <w:spacing w:line="600" w:lineRule="exact"/>
        <w:ind w:firstLine="320" w:firstLineChars="100"/>
        <w:textAlignment w:val="auto"/>
        <w:rPr>
          <w:rFonts w:hint="eastAsia" w:ascii="KaiTi_GB2312" w:hAnsi="SimSun" w:eastAsia="KaiTi_GB2312"/>
          <w:b/>
          <w:sz w:val="32"/>
          <w:szCs w:val="32"/>
          <w:lang w:val="zh-CN"/>
        </w:rPr>
      </w:pPr>
      <w:bookmarkStart w:id="8" w:name="_Toc25746_WPSOffice_Level3"/>
      <w:r>
        <w:rPr>
          <w:rFonts w:hint="eastAsia" w:ascii="KaiTi_GB2312" w:hAnsi="SimSun" w:eastAsia="KaiTi_GB2312"/>
          <w:b/>
          <w:sz w:val="32"/>
          <w:szCs w:val="32"/>
          <w:lang w:val="zh-CN"/>
        </w:rPr>
        <w:t>（二）资金计划、到位及使用情况（可用表格形式反映）。</w:t>
      </w:r>
      <w:bookmarkEnd w:id="8"/>
    </w:p>
    <w:p>
      <w:pPr>
        <w:adjustRightInd w:val="0"/>
        <w:snapToGrid w:val="0"/>
        <w:spacing w:line="600" w:lineRule="exact"/>
        <w:ind w:firstLine="720"/>
        <w:rPr>
          <w:rFonts w:hint="eastAsia" w:ascii="FangSong_GB2312" w:hAnsi="SimSun" w:eastAsia="FangSong_GB2312"/>
          <w:sz w:val="32"/>
          <w:szCs w:val="32"/>
          <w:lang w:val="en-US" w:eastAsia="zh-CN"/>
        </w:rPr>
      </w:pPr>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经费项目2022年</w:t>
      </w:r>
      <w:r>
        <w:rPr>
          <w:rFonts w:hint="eastAsia" w:ascii="FangSong_GB2312" w:hAnsi="SimSun" w:eastAsia="FangSong_GB2312"/>
          <w:sz w:val="32"/>
          <w:szCs w:val="32"/>
          <w:lang w:val="zh-CN" w:eastAsia="zh-CN"/>
        </w:rPr>
        <w:t>支付明细表</w:t>
      </w:r>
    </w:p>
    <w:tbl>
      <w:tblPr>
        <w:tblStyle w:val="5"/>
        <w:tblW w:w="88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6"/>
        <w:gridCol w:w="1476"/>
        <w:gridCol w:w="1476"/>
        <w:gridCol w:w="1476"/>
        <w:gridCol w:w="1476"/>
        <w:gridCol w:w="14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序号</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FangSong_GB2312" w:hAnsi="SimSun"/>
                <w:vertAlign w:val="baseline"/>
                <w:lang w:val="zh-CN"/>
              </w:rPr>
            </w:pPr>
            <w:r>
              <w:rPr>
                <w:rFonts w:hint="eastAsia" w:ascii="FangSong_GB2312" w:hAnsi="SimSun"/>
                <w:sz w:val="28"/>
                <w:szCs w:val="28"/>
                <w:vertAlign w:val="baseline"/>
                <w:lang w:val="zh-CN"/>
              </w:rPr>
              <w:t>项目名称</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FangSong_GB2312" w:hAnsi="SimSun" w:eastAsia="FangSong_GB2312"/>
                <w:sz w:val="28"/>
                <w:szCs w:val="28"/>
                <w:vertAlign w:val="baseline"/>
                <w:lang w:val="en-US" w:eastAsia="zh-CN"/>
              </w:rPr>
            </w:pPr>
            <w:r>
              <w:rPr>
                <w:rFonts w:hint="eastAsia" w:ascii="FangSong_GB2312" w:hAnsi="SimSun"/>
                <w:sz w:val="28"/>
                <w:szCs w:val="28"/>
                <w:vertAlign w:val="baseline"/>
                <w:lang w:val="en-US" w:eastAsia="zh-CN"/>
              </w:rPr>
              <w:t>预算金额（万元）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eastAsia" w:ascii="FangSong_GB2312" w:hAnsi="SimSun"/>
                <w:sz w:val="28"/>
                <w:szCs w:val="28"/>
                <w:vertAlign w:val="baseline"/>
                <w:lang w:val="zh-CN"/>
              </w:rPr>
            </w:pPr>
            <w:r>
              <w:rPr>
                <w:rFonts w:hint="eastAsia" w:ascii="FangSong_GB2312" w:hAnsi="SimSun"/>
                <w:sz w:val="28"/>
                <w:szCs w:val="28"/>
                <w:vertAlign w:val="baseline"/>
                <w:lang w:val="zh-CN"/>
              </w:rPr>
              <w:t>申请金额（万元）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ind w:left="280" w:hanging="280" w:hangingChars="100"/>
              <w:textAlignment w:val="auto"/>
              <w:rPr>
                <w:rFonts w:hint="eastAsia" w:ascii="FangSong_GB2312" w:hAnsi="SimSun"/>
                <w:sz w:val="28"/>
                <w:szCs w:val="28"/>
                <w:vertAlign w:val="baseline"/>
                <w:lang w:val="zh-CN"/>
              </w:rPr>
            </w:pPr>
            <w:r>
              <w:rPr>
                <w:rFonts w:hint="eastAsia" w:ascii="FangSong_GB2312" w:hAnsi="SimSun"/>
                <w:sz w:val="28"/>
                <w:szCs w:val="28"/>
                <w:vertAlign w:val="baseline"/>
                <w:lang w:val="zh-CN"/>
              </w:rPr>
              <w:t>使用金额（万元）</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jc w:val="center"/>
              <w:textAlignment w:val="auto"/>
              <w:rPr>
                <w:rFonts w:hint="eastAsia" w:ascii="FangSong_GB2312" w:hAnsi="SimSun"/>
                <w:sz w:val="28"/>
                <w:szCs w:val="28"/>
                <w:vertAlign w:val="baseline"/>
                <w:lang w:val="zh-CN"/>
              </w:rPr>
            </w:pPr>
            <w:r>
              <w:rPr>
                <w:rFonts w:hint="eastAsia" w:ascii="FangSong_GB2312" w:hAnsi="SimSun"/>
                <w:sz w:val="28"/>
                <w:szCs w:val="28"/>
                <w:vertAlign w:val="baseline"/>
                <w:lang w:val="zh-CN"/>
              </w:rPr>
              <w:t>使用比例（</w:t>
            </w:r>
            <w:r>
              <w:rPr>
                <w:rFonts w:hint="eastAsia" w:ascii="FangSong_GB2312" w:hAnsi="SimSun"/>
                <w:sz w:val="28"/>
                <w:szCs w:val="28"/>
                <w:vertAlign w:val="baseline"/>
                <w:lang w:val="en-US" w:eastAsia="zh-CN"/>
              </w:rPr>
              <w:t>%</w:t>
            </w:r>
            <w:r>
              <w:rPr>
                <w:rFonts w:hint="eastAsia" w:ascii="FangSong_GB2312" w:hAnsi="SimSun"/>
                <w:sz w:val="28"/>
                <w:szCs w:val="28"/>
                <w:vertAlign w:val="baseli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210" w:firstLineChars="100"/>
              <w:textAlignment w:val="auto"/>
              <w:rPr>
                <w:rFonts w:hint="eastAsia" w:ascii="FangSong_GB2312" w:hAnsi="SimSun" w:eastAsia="FangSong_GB2312"/>
                <w:vertAlign w:val="baseline"/>
                <w:lang w:val="en-US" w:eastAsia="zh-CN"/>
              </w:rPr>
            </w:pPr>
            <w:r>
              <w:rPr>
                <w:rFonts w:hint="eastAsia" w:ascii="FangSong_GB2312" w:hAnsi="SimSun"/>
                <w:vertAlign w:val="baseline"/>
                <w:lang w:val="en-US" w:eastAsia="zh-CN"/>
              </w:rPr>
              <w:t>1</w:t>
            </w:r>
          </w:p>
        </w:tc>
        <w:tc>
          <w:tcPr>
            <w:tcW w:w="1476" w:type="dxa"/>
          </w:tcPr>
          <w:p>
            <w:pPr>
              <w:keepNext w:val="0"/>
              <w:keepLines w:val="0"/>
              <w:pageBreakBefore w:val="0"/>
              <w:kinsoku/>
              <w:wordWrap/>
              <w:overflowPunct/>
              <w:topLinePunct w:val="0"/>
              <w:autoSpaceDE/>
              <w:autoSpaceDN/>
              <w:bidi w:val="0"/>
              <w:adjustRightInd w:val="0"/>
              <w:snapToGrid w:val="0"/>
              <w:spacing w:line="240" w:lineRule="auto"/>
              <w:textAlignment w:val="auto"/>
              <w:rPr>
                <w:rFonts w:hint="eastAsia" w:ascii="FangSong_GB2312" w:hAnsi="SimSun"/>
                <w:vertAlign w:val="baseline"/>
                <w:lang w:val="zh-CN"/>
              </w:rPr>
            </w:pPr>
            <w:r>
              <w:rPr>
                <w:rFonts w:hint="eastAsia" w:ascii="FangSong_GB2312" w:hAnsi="SimSun"/>
                <w:sz w:val="21"/>
                <w:szCs w:val="21"/>
                <w:vertAlign w:val="baseline"/>
                <w:lang w:val="zh-CN"/>
              </w:rPr>
              <w:t>差旅费</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3</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 xml:space="preserve">  3</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21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3</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210" w:firstLineChars="100"/>
              <w:textAlignment w:val="auto"/>
              <w:rPr>
                <w:rFonts w:hint="eastAsia" w:ascii="FangSong_GB2312" w:hAnsi="SimSun"/>
                <w:vertAlign w:val="baseline"/>
                <w:lang w:val="zh-CN"/>
              </w:rPr>
            </w:pPr>
            <w:r>
              <w:rPr>
                <w:rFonts w:hint="eastAsia" w:ascii="FangSong_GB2312" w:hAnsi="SimSun"/>
                <w:vertAlign w:val="baseline"/>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2952" w:type="dxa"/>
            <w:gridSpan w:val="2"/>
          </w:tcPr>
          <w:p>
            <w:pPr>
              <w:keepNext w:val="0"/>
              <w:keepLines w:val="0"/>
              <w:pageBreakBefore w:val="0"/>
              <w:kinsoku/>
              <w:wordWrap/>
              <w:overflowPunct/>
              <w:topLinePunct w:val="0"/>
              <w:autoSpaceDE/>
              <w:autoSpaceDN/>
              <w:bidi w:val="0"/>
              <w:adjustRightInd w:val="0"/>
              <w:snapToGrid w:val="0"/>
              <w:spacing w:line="600" w:lineRule="exact"/>
              <w:ind w:firstLine="630" w:firstLineChars="300"/>
              <w:textAlignment w:val="auto"/>
              <w:rPr>
                <w:rFonts w:hint="eastAsia" w:ascii="FangSong_GB2312" w:hAnsi="SimSun"/>
                <w:vertAlign w:val="baseline"/>
                <w:lang w:val="zh-CN"/>
              </w:rPr>
            </w:pPr>
            <w:r>
              <w:rPr>
                <w:rFonts w:hint="eastAsia" w:ascii="FangSong_GB2312" w:hAnsi="SimSun"/>
                <w:vertAlign w:val="baseline"/>
                <w:lang w:val="zh-CN"/>
              </w:rPr>
              <w:t>合计</w:t>
            </w:r>
          </w:p>
        </w:tc>
        <w:tc>
          <w:tcPr>
            <w:tcW w:w="1476" w:type="dxa"/>
          </w:tcPr>
          <w:p>
            <w:pPr>
              <w:keepNext w:val="0"/>
              <w:keepLines w:val="0"/>
              <w:pageBreakBefore w:val="0"/>
              <w:kinsoku/>
              <w:wordWrap/>
              <w:overflowPunct/>
              <w:topLinePunct w:val="0"/>
              <w:autoSpaceDE/>
              <w:autoSpaceDN/>
              <w:bidi w:val="0"/>
              <w:adjustRightInd w:val="0"/>
              <w:snapToGrid w:val="0"/>
              <w:spacing w:line="600" w:lineRule="exact"/>
              <w:ind w:firstLine="21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3</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21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3</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ind w:firstLine="210" w:firstLineChars="100"/>
              <w:textAlignment w:val="auto"/>
              <w:rPr>
                <w:rFonts w:hint="default" w:ascii="FangSong_GB2312" w:hAnsi="SimSun" w:eastAsia="FangSong_GB2312"/>
                <w:vertAlign w:val="baseline"/>
                <w:lang w:val="en-US" w:eastAsia="zh-CN"/>
              </w:rPr>
            </w:pPr>
            <w:r>
              <w:rPr>
                <w:rFonts w:hint="eastAsia" w:ascii="FangSong_GB2312" w:hAnsi="SimSun"/>
                <w:vertAlign w:val="baseline"/>
                <w:lang w:val="en-US" w:eastAsia="zh-CN"/>
              </w:rPr>
              <w:t>3</w:t>
            </w:r>
          </w:p>
        </w:tc>
        <w:tc>
          <w:tcPr>
            <w:tcW w:w="1476" w:type="dxa"/>
            <w:vAlign w:val="top"/>
          </w:tcPr>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vertAlign w:val="baseline"/>
                <w:lang w:val="en-US"/>
              </w:rPr>
            </w:pPr>
            <w:r>
              <w:rPr>
                <w:rFonts w:hint="eastAsia" w:ascii="FangSong_GB2312" w:hAnsi="SimSun"/>
                <w:vertAlign w:val="baseline"/>
                <w:lang w:val="en-US" w:eastAsia="zh-CN"/>
              </w:rPr>
              <w:t xml:space="preserve"> 100%</w:t>
            </w:r>
          </w:p>
        </w:tc>
      </w:tr>
    </w:tbl>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FangSong_GB2312" w:hAnsi="SimSun"/>
          <w:lang w:val="zh-CN"/>
        </w:rPr>
      </w:pP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KaiTi_GB2312" w:hAnsi="SimSun" w:eastAsia="KaiTi_GB2312"/>
          <w:b/>
          <w:sz w:val="32"/>
          <w:szCs w:val="32"/>
          <w:lang w:val="zh-CN"/>
        </w:rPr>
      </w:pPr>
      <w:bookmarkStart w:id="9" w:name="_Toc23298_WPSOffice_Level3"/>
      <w:r>
        <w:rPr>
          <w:rFonts w:hint="eastAsia" w:ascii="KaiTi_GB2312" w:hAnsi="SimSun" w:eastAsia="KaiTi_GB2312"/>
          <w:b/>
          <w:sz w:val="32"/>
          <w:szCs w:val="32"/>
          <w:lang w:val="zh-CN"/>
        </w:rPr>
        <w:t>（三）项目财务管理情况。</w:t>
      </w:r>
      <w:bookmarkEnd w:id="9"/>
    </w:p>
    <w:p>
      <w:pPr>
        <w:adjustRightInd w:val="0"/>
        <w:snapToGrid w:val="0"/>
        <w:spacing w:line="600" w:lineRule="exact"/>
        <w:ind w:firstLine="720"/>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资金实施管理制度健全，严格执行财务管理制度，账务处理及时，会计核算规范。</w:t>
      </w:r>
    </w:p>
    <w:p>
      <w:pPr>
        <w:adjustRightInd w:val="0"/>
        <w:snapToGrid w:val="0"/>
        <w:spacing w:line="600" w:lineRule="exact"/>
        <w:ind w:firstLine="720"/>
        <w:rPr>
          <w:rFonts w:hint="eastAsia" w:ascii="SimHei" w:hAnsi="SimSun" w:eastAsia="SimHei"/>
          <w:sz w:val="32"/>
          <w:szCs w:val="32"/>
          <w:lang w:val="zh-CN"/>
        </w:rPr>
      </w:pPr>
      <w:bookmarkStart w:id="10" w:name="_Toc9845_WPSOffice_Level2"/>
      <w:r>
        <w:rPr>
          <w:rFonts w:hint="eastAsia" w:ascii="SimHei" w:hAnsi="SimSun" w:eastAsia="SimHei"/>
          <w:sz w:val="32"/>
          <w:szCs w:val="32"/>
          <w:lang w:val="zh-CN"/>
        </w:rPr>
        <w:t>三、项目实施及管理情况</w:t>
      </w:r>
      <w:bookmarkEnd w:id="10"/>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KaiTi_GB2312" w:hAnsi="SimSun" w:eastAsia="KaiTi_GB2312"/>
          <w:b/>
          <w:sz w:val="32"/>
          <w:szCs w:val="32"/>
          <w:lang w:val="zh-CN"/>
        </w:rPr>
      </w:pPr>
      <w:bookmarkStart w:id="11" w:name="_Toc27413_WPSOffice_Level3"/>
      <w:r>
        <w:rPr>
          <w:rFonts w:hint="eastAsia" w:ascii="KaiTi_GB2312" w:hAnsi="SimSun" w:eastAsia="KaiTi_GB2312"/>
          <w:b/>
          <w:sz w:val="32"/>
          <w:szCs w:val="32"/>
          <w:lang w:val="zh-CN"/>
        </w:rPr>
        <w:t>（一）项目组织架构及实施流程。</w:t>
      </w:r>
      <w:bookmarkEnd w:id="11"/>
    </w:p>
    <w:p>
      <w:pPr>
        <w:keepNext w:val="0"/>
        <w:keepLines w:val="0"/>
        <w:pageBreakBefore w:val="0"/>
        <w:kinsoku/>
        <w:wordWrap/>
        <w:overflowPunct/>
        <w:topLinePunct w:val="0"/>
        <w:autoSpaceDE/>
        <w:autoSpaceDN/>
        <w:bidi w:val="0"/>
        <w:adjustRightInd w:val="0"/>
        <w:snapToGrid w:val="0"/>
        <w:spacing w:line="600" w:lineRule="exact"/>
        <w:textAlignment w:val="auto"/>
        <w:rPr>
          <w:rFonts w:hint="default" w:ascii="FangSong_GB2312" w:hAnsi="SimSun" w:eastAsia="FangSong_GB2312"/>
          <w:sz w:val="32"/>
          <w:szCs w:val="32"/>
          <w:lang w:val="en-US" w:eastAsia="zh-CN"/>
        </w:rPr>
      </w:pPr>
      <w:r>
        <w:rPr>
          <w:rFonts w:hint="eastAsia" w:ascii="KaiTi_GB2312" w:hAnsi="SimSun" w:eastAsia="KaiTi_GB2312"/>
          <w:b/>
          <w:lang w:val="en-US" w:eastAsia="zh-CN"/>
        </w:rPr>
        <w:t xml:space="preserve">      </w:t>
      </w: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是年初预算，批复后再申请资金，由县财政将预算项目资金拨到单位账户后再根据单位工作安排进行组织实施。</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KaiTi_GB2312" w:hAnsi="SimSun" w:eastAsia="KaiTi_GB2312"/>
          <w:b/>
          <w:sz w:val="32"/>
          <w:szCs w:val="32"/>
          <w:lang w:val="zh-CN"/>
        </w:rPr>
      </w:pPr>
      <w:bookmarkStart w:id="12" w:name="_Toc28135_WPSOffice_Level3"/>
      <w:r>
        <w:rPr>
          <w:rFonts w:hint="eastAsia" w:ascii="KaiTi_GB2312" w:hAnsi="SimSun" w:eastAsia="KaiTi_GB2312"/>
          <w:b/>
          <w:sz w:val="32"/>
          <w:szCs w:val="32"/>
          <w:lang w:val="zh-CN"/>
        </w:rPr>
        <w:t>（二）项目管理情况。</w:t>
      </w:r>
      <w:bookmarkEnd w:id="12"/>
    </w:p>
    <w:p>
      <w:pPr>
        <w:keepNext w:val="0"/>
        <w:keepLines w:val="0"/>
        <w:pageBreakBefore w:val="0"/>
        <w:numPr>
          <w:ilvl w:val="0"/>
          <w:numId w:val="0"/>
        </w:numPr>
        <w:kinsoku/>
        <w:wordWrap/>
        <w:overflowPunct/>
        <w:topLinePunct w:val="0"/>
        <w:autoSpaceDE/>
        <w:autoSpaceDN/>
        <w:bidi w:val="0"/>
        <w:adjustRightInd w:val="0"/>
        <w:snapToGrid w:val="0"/>
        <w:spacing w:line="600" w:lineRule="exact"/>
        <w:textAlignment w:val="auto"/>
        <w:rPr>
          <w:rFonts w:hint="default" w:ascii="FangSong_GB2312" w:hAnsi="SimSun" w:eastAsia="FangSong_GB2312"/>
          <w:sz w:val="32"/>
          <w:szCs w:val="32"/>
          <w:lang w:val="en-US" w:eastAsia="zh-CN"/>
        </w:rPr>
      </w:pPr>
      <w:r>
        <w:rPr>
          <w:rFonts w:hint="eastAsia" w:ascii="KaiTi_GB2312" w:hAnsi="SimSun" w:eastAsia="KaiTi_GB2312"/>
          <w:b/>
          <w:lang w:val="en-US" w:eastAsia="zh-CN"/>
        </w:rPr>
        <w:t xml:space="preserve">    </w:t>
      </w: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资金管理是严格按照财经制度管理执行，资金使用方式按先实施后据实报销方式。</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KaiTi_GB2312" w:hAnsi="SimSun" w:eastAsia="KaiTi_GB2312"/>
          <w:b/>
          <w:sz w:val="32"/>
          <w:szCs w:val="32"/>
          <w:lang w:val="zh-CN"/>
        </w:rPr>
      </w:pPr>
      <w:bookmarkStart w:id="13" w:name="_Toc25792_WPSOffice_Level3"/>
      <w:r>
        <w:rPr>
          <w:rFonts w:hint="eastAsia" w:ascii="KaiTi_GB2312" w:hAnsi="SimSun" w:eastAsia="KaiTi_GB2312"/>
          <w:b/>
          <w:sz w:val="32"/>
          <w:szCs w:val="32"/>
          <w:lang w:val="zh-CN"/>
        </w:rPr>
        <w:t>（三）项目监管情况。</w:t>
      </w:r>
      <w:bookmarkEnd w:id="13"/>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监管方式为：每次按市信联办根据会期要求通知抽调人员及要求各区县组建相关工作小组到会议驻地开展信访稳定</w:t>
      </w:r>
      <w:r>
        <w:rPr>
          <w:rFonts w:hint="eastAsia" w:ascii="FangSong_GB2312" w:hAnsi="SimSun" w:eastAsia="FangSong_GB2312"/>
          <w:sz w:val="32"/>
          <w:szCs w:val="32"/>
          <w:lang w:val="en-US" w:eastAsia="zh-CN"/>
        </w:rPr>
        <w:t>工作，县信访局按要求又下达通知组建工作小组派驻到相关会址开展工作，工作完成后，参加该工作的人员按财政的财经制度标准按时到信访局填写差旅报销单，再由分管领导同意，报单位主要领导人审批方拨付到工作人员</w:t>
      </w:r>
      <w:r>
        <w:rPr>
          <w:rFonts w:hint="eastAsia" w:ascii="FangSong_GB2312" w:hAnsi="SimSun" w:eastAsia="FangSong_GB2312"/>
          <w:sz w:val="32"/>
          <w:szCs w:val="32"/>
          <w:lang w:val="zh-CN"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ascii="FangSong_GB2312" w:hAnsi="SimSun"/>
          <w:lang w:val="zh-CN"/>
        </w:rPr>
      </w:pPr>
      <w:bookmarkStart w:id="14" w:name="_Toc5223_WPSOffice_Level2"/>
      <w:r>
        <w:rPr>
          <w:rFonts w:hint="eastAsia" w:ascii="SimHei" w:hAnsi="SimSun" w:eastAsia="SimHei"/>
          <w:sz w:val="32"/>
          <w:szCs w:val="32"/>
          <w:lang w:val="zh-CN"/>
        </w:rPr>
        <w:t>四、项目绩效情况</w:t>
      </w:r>
      <w:bookmarkEnd w:id="14"/>
      <w:r>
        <w:rPr>
          <w:rFonts w:hint="eastAsia" w:ascii="FangSong_GB2312" w:hAnsi="SimSun"/>
          <w:lang w:val="zh-CN"/>
        </w:rPr>
        <w:tab/>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ascii="KaiTi_GB2312" w:hAnsi="SimSun" w:eastAsia="KaiTi_GB2312"/>
          <w:b/>
          <w:lang w:val="zh-CN"/>
        </w:rPr>
      </w:pPr>
      <w:bookmarkStart w:id="15" w:name="_Toc30972_WPSOffice_Level3"/>
      <w:r>
        <w:rPr>
          <w:rFonts w:hint="eastAsia" w:ascii="KaiTi_GB2312" w:hAnsi="SimSun" w:eastAsia="KaiTi_GB2312"/>
          <w:b/>
          <w:sz w:val="32"/>
          <w:szCs w:val="32"/>
          <w:lang w:val="zh-CN"/>
        </w:rPr>
        <w:t>（一）项目完成情况。</w:t>
      </w:r>
      <w:bookmarkEnd w:id="15"/>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en-US" w:eastAsia="zh-CN"/>
        </w:rPr>
      </w:pPr>
      <w:r>
        <w:rPr>
          <w:rFonts w:hint="eastAsia" w:ascii="FangSong_GB2312" w:hAnsi="SimSun" w:eastAsia="FangSong_GB2312"/>
          <w:sz w:val="32"/>
          <w:szCs w:val="32"/>
          <w:lang w:val="en-US" w:eastAsia="zh-CN"/>
        </w:rPr>
        <w:t>2022年按工作安排，县信访局顺利完成了全国及省市县召开</w:t>
      </w:r>
      <w:r>
        <w:rPr>
          <w:rFonts w:hint="eastAsia" w:ascii="FangSong_GB2312" w:hAnsi="SimSun" w:eastAsia="SimSun"/>
          <w:sz w:val="32"/>
          <w:szCs w:val="32"/>
          <w:lang w:val="en-US" w:eastAsia="zh-CN"/>
        </w:rPr>
        <w:t>两会的</w:t>
      </w:r>
      <w:r>
        <w:rPr>
          <w:rFonts w:hint="eastAsia" w:ascii="FangSong_GB2312" w:hAnsi="SimSun" w:eastAsia="FangSong_GB2312"/>
          <w:sz w:val="32"/>
          <w:szCs w:val="32"/>
          <w:lang w:val="en-US" w:eastAsia="zh-CN"/>
        </w:rPr>
        <w:t>8次工作任务。</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bookmarkStart w:id="16" w:name="_Toc11748_WPSOffice_Level3"/>
      <w:r>
        <w:rPr>
          <w:rFonts w:hint="eastAsia" w:ascii="KaiTi_GB2312" w:hAnsi="SimSun" w:eastAsia="KaiTi_GB2312"/>
          <w:b/>
          <w:sz w:val="32"/>
          <w:szCs w:val="32"/>
          <w:lang w:val="zh-CN"/>
        </w:rPr>
        <w:t>（二）项目效益情况。</w:t>
      </w:r>
      <w:bookmarkEnd w:id="16"/>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全国及省市县</w:t>
      </w:r>
      <w:bookmarkStart w:id="21" w:name="_GoBack"/>
      <w:bookmarkEnd w:id="21"/>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是促进社会和谐、提升群众满意度的工作，</w:t>
      </w:r>
      <w:r>
        <w:rPr>
          <w:rFonts w:hint="eastAsia" w:ascii="FangSong_GB2312" w:hAnsi="SimSun" w:eastAsia="FangSong_GB2312"/>
          <w:sz w:val="32"/>
          <w:szCs w:val="32"/>
          <w:lang w:val="en-US" w:eastAsia="zh-CN"/>
        </w:rPr>
        <w:t>2022年</w:t>
      </w:r>
      <w:r>
        <w:rPr>
          <w:rFonts w:hint="eastAsia" w:ascii="FangSong_GB2312" w:hAnsi="SimSun" w:eastAsia="FangSong_GB2312"/>
          <w:sz w:val="32"/>
          <w:szCs w:val="32"/>
          <w:lang w:val="zh-CN" w:eastAsia="zh-CN"/>
        </w:rPr>
        <w:t>实施</w:t>
      </w:r>
      <w:r>
        <w:rPr>
          <w:rFonts w:hint="eastAsia" w:ascii="FangSong_GB2312" w:hAnsi="SimSun" w:eastAsia="FangSong_GB2312"/>
          <w:sz w:val="32"/>
          <w:szCs w:val="32"/>
          <w:lang w:val="en-US" w:eastAsia="zh-CN"/>
        </w:rPr>
        <w:t>信访积案、难案化解专项资金</w:t>
      </w:r>
      <w:r>
        <w:rPr>
          <w:rFonts w:hint="eastAsia" w:ascii="FangSong_GB2312" w:hAnsi="SimSun" w:eastAsia="FangSong_GB2312"/>
          <w:sz w:val="32"/>
          <w:szCs w:val="32"/>
          <w:lang w:val="zh-CN" w:eastAsia="zh-CN"/>
        </w:rPr>
        <w:t>项目社会满意度达</w:t>
      </w:r>
      <w:r>
        <w:rPr>
          <w:rFonts w:hint="eastAsia" w:ascii="FangSong_GB2312" w:hAnsi="SimSun" w:eastAsia="FangSong_GB2312"/>
          <w:sz w:val="32"/>
          <w:szCs w:val="32"/>
          <w:lang w:val="en-US" w:eastAsia="zh-CN"/>
        </w:rPr>
        <w:t>95%，群众满意度为98%</w:t>
      </w:r>
      <w:r>
        <w:rPr>
          <w:rFonts w:hint="eastAsia" w:ascii="FangSong_GB2312" w:hAnsi="SimSun" w:eastAsia="FangSong_GB2312"/>
          <w:sz w:val="32"/>
          <w:szCs w:val="32"/>
          <w:lang w:val="zh-CN" w:eastAsia="zh-CN"/>
        </w:rPr>
        <w:t>。</w:t>
      </w:r>
    </w:p>
    <w:p>
      <w:pPr>
        <w:keepNext w:val="0"/>
        <w:keepLines w:val="0"/>
        <w:pageBreakBefore w:val="0"/>
        <w:numPr>
          <w:ilvl w:val="0"/>
          <w:numId w:val="0"/>
        </w:numPr>
        <w:kinsoku/>
        <w:wordWrap/>
        <w:overflowPunct/>
        <w:topLinePunct w:val="0"/>
        <w:autoSpaceDE/>
        <w:autoSpaceDN/>
        <w:bidi w:val="0"/>
        <w:adjustRightInd w:val="0"/>
        <w:snapToGrid w:val="0"/>
        <w:spacing w:line="600" w:lineRule="exact"/>
        <w:ind w:left="720" w:leftChars="0"/>
        <w:textAlignment w:val="auto"/>
        <w:rPr>
          <w:rFonts w:hint="eastAsia" w:ascii="SimHei" w:hAnsi="SimSun" w:eastAsia="SimHei"/>
          <w:sz w:val="32"/>
          <w:szCs w:val="32"/>
          <w:lang w:val="zh-CN"/>
        </w:rPr>
      </w:pPr>
      <w:bookmarkStart w:id="17" w:name="_Toc10429_WPSOffice_Level2"/>
      <w:r>
        <w:rPr>
          <w:rFonts w:hint="eastAsia" w:ascii="SimHei" w:hAnsi="SimSun" w:eastAsia="SimHei"/>
          <w:sz w:val="32"/>
          <w:szCs w:val="32"/>
          <w:lang w:val="zh-CN"/>
        </w:rPr>
        <w:t>五、评价结论及建议</w:t>
      </w:r>
      <w:bookmarkEnd w:id="17"/>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bookmarkStart w:id="18" w:name="_Toc26243_WPSOffice_Level3"/>
      <w:r>
        <w:rPr>
          <w:rFonts w:hint="eastAsia" w:ascii="KaiTi_GB2312" w:hAnsi="SimSun" w:eastAsia="KaiTi_GB2312"/>
          <w:b/>
          <w:sz w:val="32"/>
          <w:szCs w:val="32"/>
          <w:lang w:val="zh-CN"/>
        </w:rPr>
        <w:t>（一）评价结论。</w:t>
      </w:r>
      <w:bookmarkEnd w:id="18"/>
    </w:p>
    <w:p>
      <w:pPr>
        <w:keepNext w:val="0"/>
        <w:keepLines w:val="0"/>
        <w:pageBreakBefore w:val="0"/>
        <w:numPr>
          <w:ilvl w:val="0"/>
          <w:numId w:val="0"/>
        </w:numPr>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申报合理，实施有序，成效明显，有力维护群众利益，促进了社会和谐稳定。</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bookmarkStart w:id="19" w:name="_Toc29198_WPSOffice_Level3"/>
      <w:r>
        <w:rPr>
          <w:rFonts w:hint="eastAsia" w:ascii="KaiTi_GB2312" w:hAnsi="SimSun" w:eastAsia="KaiTi_GB2312"/>
          <w:b/>
          <w:sz w:val="32"/>
          <w:szCs w:val="32"/>
          <w:lang w:val="zh-CN"/>
        </w:rPr>
        <w:t>（二）存在的问题。</w:t>
      </w:r>
      <w:bookmarkEnd w:id="19"/>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ascii="FangSong_GB2312" w:hAnsi="SimSun"/>
          <w:lang w:val="zh-CN"/>
        </w:rPr>
      </w:pPr>
      <w:r>
        <w:rPr>
          <w:rFonts w:hint="eastAsia" w:ascii="FangSong_GB2312" w:hAnsi="SimSun" w:eastAsia="FangSong_GB2312"/>
          <w:sz w:val="32"/>
          <w:szCs w:val="32"/>
          <w:lang w:val="en-US" w:eastAsia="zh-CN"/>
        </w:rPr>
        <w:t>全国及省市县</w:t>
      </w:r>
      <w:r>
        <w:rPr>
          <w:rFonts w:hint="eastAsia" w:ascii="FangSong_GB2312" w:hAnsi="SimSun" w:eastAsia="FangSong_GB2312"/>
          <w:sz w:val="32"/>
          <w:szCs w:val="32"/>
          <w:lang w:val="en-US" w:eastAsia="zh-CN"/>
        </w:rPr>
        <w:t>两会</w:t>
      </w:r>
      <w:r>
        <w:rPr>
          <w:rFonts w:hint="eastAsia" w:ascii="FangSong_GB2312" w:hAnsi="SimSun" w:eastAsia="FangSong_GB2312"/>
          <w:sz w:val="32"/>
          <w:szCs w:val="32"/>
          <w:lang w:val="en-US" w:eastAsia="zh-CN"/>
        </w:rPr>
        <w:t>经费项目</w:t>
      </w:r>
      <w:r>
        <w:rPr>
          <w:rFonts w:hint="eastAsia" w:ascii="FangSong_GB2312" w:hAnsi="SimSun" w:eastAsia="FangSong_GB2312"/>
          <w:sz w:val="32"/>
          <w:szCs w:val="32"/>
          <w:lang w:val="zh-CN" w:eastAsia="zh-CN"/>
        </w:rPr>
        <w:t>实施存在的问题：该项目实施时具有一定的突发性</w:t>
      </w:r>
      <w:r>
        <w:rPr>
          <w:rFonts w:hint="eastAsia" w:ascii="FangSong_GB2312" w:hAnsi="SimSun" w:eastAsia="FangSong_GB2312"/>
          <w:sz w:val="32"/>
          <w:szCs w:val="32"/>
          <w:lang w:val="en-US" w:eastAsia="zh-CN"/>
        </w:rPr>
        <w:t>，</w:t>
      </w:r>
      <w:r>
        <w:rPr>
          <w:rFonts w:hint="eastAsia" w:ascii="FangSong_GB2312" w:hAnsi="SimSun" w:eastAsia="FangSong_GB2312"/>
          <w:sz w:val="32"/>
          <w:szCs w:val="32"/>
          <w:lang w:val="zh-CN" w:eastAsia="zh-CN"/>
        </w:rPr>
        <w:t>所以在预算时容易造成费用预算不足。</w:t>
      </w:r>
    </w:p>
    <w:p>
      <w:pPr>
        <w:keepNext w:val="0"/>
        <w:keepLines w:val="0"/>
        <w:pageBreakBefore w:val="0"/>
        <w:kinsoku/>
        <w:wordWrap/>
        <w:overflowPunct/>
        <w:topLinePunct w:val="0"/>
        <w:autoSpaceDE/>
        <w:autoSpaceDN/>
        <w:bidi w:val="0"/>
        <w:adjustRightInd w:val="0"/>
        <w:snapToGrid w:val="0"/>
        <w:spacing w:line="600" w:lineRule="exact"/>
        <w:ind w:firstLine="720"/>
        <w:textAlignment w:val="auto"/>
        <w:rPr>
          <w:rFonts w:hint="eastAsia" w:ascii="KaiTi_GB2312" w:hAnsi="SimSun" w:eastAsia="KaiTi_GB2312"/>
          <w:b/>
          <w:sz w:val="32"/>
          <w:szCs w:val="32"/>
          <w:lang w:val="zh-CN"/>
        </w:rPr>
      </w:pPr>
      <w:bookmarkStart w:id="20" w:name="_Toc15591_WPSOffice_Level3"/>
      <w:r>
        <w:rPr>
          <w:rFonts w:hint="eastAsia" w:ascii="KaiTi_GB2312" w:hAnsi="SimSun" w:eastAsia="KaiTi_GB2312"/>
          <w:b/>
          <w:sz w:val="32"/>
          <w:szCs w:val="32"/>
          <w:lang w:val="zh-CN"/>
        </w:rPr>
        <w:t>（三）相关建议。</w:t>
      </w:r>
      <w:bookmarkEnd w:id="20"/>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rFonts w:hint="eastAsia" w:ascii="FangSong_GB2312" w:hAnsi="SimSun" w:eastAsia="FangSong_GB2312"/>
          <w:sz w:val="32"/>
          <w:szCs w:val="32"/>
          <w:lang w:val="zh-CN" w:eastAsia="zh-CN"/>
        </w:rPr>
      </w:pPr>
      <w:r>
        <w:rPr>
          <w:rFonts w:hint="eastAsia" w:ascii="FangSong_GB2312" w:hAnsi="SimSun" w:eastAsia="FangSong_GB2312"/>
          <w:sz w:val="32"/>
          <w:szCs w:val="32"/>
          <w:lang w:val="zh-CN" w:eastAsia="zh-CN"/>
        </w:rPr>
        <w:t>加大该项目的精细化预算、严格控制支出成本，提高资金使用效率。</w:t>
      </w:r>
    </w:p>
    <w:p/>
    <w:p>
      <w:pPr>
        <w:spacing w:line="600" w:lineRule="exact"/>
        <w:jc w:val="both"/>
        <w:outlineLvl w:val="0"/>
        <w:rPr>
          <w:rFonts w:hint="eastAsia" w:asciiTheme="minorEastAsia" w:hAnsiTheme="minorEastAsia" w:eastAsiaTheme="minorEastAsia" w:cstheme="minorEastAsia"/>
          <w:color w:val="00000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
    <w:panose1 w:val="02010609060101010101"/>
    <w:charset w:val="86"/>
    <w:family w:val="modern"/>
    <w:pitch w:val="default"/>
    <w:sig w:usb0="800002BF" w:usb1="38CF7CFA" w:usb2="00000016" w:usb3="00000000" w:csb0="00040001" w:csb1="00000000"/>
  </w:font>
  <w:font w:name="SimSun">
    <w:panose1 w:val="02010600030101010101"/>
    <w:charset w:val="7A"/>
    <w:family w:val="auto"/>
    <w:pitch w:val="default"/>
    <w:sig w:usb0="00000003" w:usb1="288F0000" w:usb2="0000000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FangSong_GB2312">
    <w:panose1 w:val="02010609030101010101"/>
    <w:charset w:val="86"/>
    <w:family w:val="modern"/>
    <w:pitch w:val="default"/>
    <w:sig w:usb0="00000001" w:usb1="080E0000" w:usb2="00000000" w:usb3="00000000" w:csb0="00040000" w:csb1="00000000"/>
  </w:font>
  <w:font w:name="KaiTi_GB2312">
    <w:panose1 w:val="02010609030101010101"/>
    <w:charset w:val="86"/>
    <w:family w:val="modern"/>
    <w:pitch w:val="default"/>
    <w:sig w:usb0="00000001" w:usb1="080E0000" w:usb2="00000000" w:usb3="00000000" w:csb0="00040000" w:csb1="00000000"/>
  </w:font>
  <w:font w:name="MS PGothic">
    <w:panose1 w:val="020B0600070205080204"/>
    <w:charset w:val="80"/>
    <w:family w:val="auto"/>
    <w:pitch w:val="default"/>
    <w:sig w:usb0="E00002FF" w:usb1="6AC7FDFB" w:usb2="00000012" w:usb3="00000000" w:csb0="4002009F" w:csb1="DFD70000"/>
  </w:font>
  <w:font w:name="FangSong_GB2312">
    <w:altName w:val="FangSong_GB2312"/>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65FB6337"/>
    <w:rsid w:val="009E6125"/>
    <w:rsid w:val="00E60813"/>
    <w:rsid w:val="02A1035C"/>
    <w:rsid w:val="02AB5498"/>
    <w:rsid w:val="02DA2EEA"/>
    <w:rsid w:val="03BA333C"/>
    <w:rsid w:val="06A7337D"/>
    <w:rsid w:val="08D45425"/>
    <w:rsid w:val="0A49167F"/>
    <w:rsid w:val="0A696ECC"/>
    <w:rsid w:val="0B914376"/>
    <w:rsid w:val="0C842AAF"/>
    <w:rsid w:val="0E7F41BE"/>
    <w:rsid w:val="10580F98"/>
    <w:rsid w:val="11C818FF"/>
    <w:rsid w:val="1307610A"/>
    <w:rsid w:val="141B1A4D"/>
    <w:rsid w:val="16ED3F1B"/>
    <w:rsid w:val="188E69AD"/>
    <w:rsid w:val="1C3F2C8F"/>
    <w:rsid w:val="1E79165D"/>
    <w:rsid w:val="1ED156D8"/>
    <w:rsid w:val="1F990032"/>
    <w:rsid w:val="20E751B1"/>
    <w:rsid w:val="22A72A4B"/>
    <w:rsid w:val="23375DC5"/>
    <w:rsid w:val="250E4A3B"/>
    <w:rsid w:val="277E18BE"/>
    <w:rsid w:val="27CA3536"/>
    <w:rsid w:val="29487E0E"/>
    <w:rsid w:val="29A3664A"/>
    <w:rsid w:val="2A3F0027"/>
    <w:rsid w:val="2B215F7E"/>
    <w:rsid w:val="2C101C61"/>
    <w:rsid w:val="2C470C09"/>
    <w:rsid w:val="2EF9340E"/>
    <w:rsid w:val="2FAC4AA0"/>
    <w:rsid w:val="315F5349"/>
    <w:rsid w:val="317B79B7"/>
    <w:rsid w:val="387D2597"/>
    <w:rsid w:val="38AE26B6"/>
    <w:rsid w:val="3C9733B6"/>
    <w:rsid w:val="3FA13B5E"/>
    <w:rsid w:val="40A250A6"/>
    <w:rsid w:val="44E514C4"/>
    <w:rsid w:val="48C609E2"/>
    <w:rsid w:val="48EC22BB"/>
    <w:rsid w:val="49385353"/>
    <w:rsid w:val="497037D6"/>
    <w:rsid w:val="4A716275"/>
    <w:rsid w:val="4C8378A8"/>
    <w:rsid w:val="4FAF734A"/>
    <w:rsid w:val="4FC30A56"/>
    <w:rsid w:val="56692157"/>
    <w:rsid w:val="589B12BF"/>
    <w:rsid w:val="592C2CDD"/>
    <w:rsid w:val="595A17E9"/>
    <w:rsid w:val="595E1ECA"/>
    <w:rsid w:val="5BB07159"/>
    <w:rsid w:val="5EF60B67"/>
    <w:rsid w:val="604F397F"/>
    <w:rsid w:val="61A12B60"/>
    <w:rsid w:val="631E1C33"/>
    <w:rsid w:val="63204CBB"/>
    <w:rsid w:val="633F3AE9"/>
    <w:rsid w:val="65916826"/>
    <w:rsid w:val="65FB6337"/>
    <w:rsid w:val="663369DD"/>
    <w:rsid w:val="694B47BF"/>
    <w:rsid w:val="6B7C2749"/>
    <w:rsid w:val="6C2E1689"/>
    <w:rsid w:val="6DAC0F36"/>
    <w:rsid w:val="71974719"/>
    <w:rsid w:val="724C27C2"/>
    <w:rsid w:val="75F02C40"/>
    <w:rsid w:val="75F24CC3"/>
    <w:rsid w:val="765C3C5C"/>
    <w:rsid w:val="77E6525A"/>
    <w:rsid w:val="79554E1A"/>
    <w:rsid w:val="7CB85FF0"/>
    <w:rsid w:val="7DD13D24"/>
    <w:rsid w:val="7DE559D9"/>
    <w:rsid w:val="7E5C6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SimSun" w:cs="Times New Roman"/>
      <w:kern w:val="2"/>
      <w:sz w:val="21"/>
      <w:szCs w:val="24"/>
      <w:lang w:val="en-US" w:eastAsia="zh-CN" w:bidi="ar-SA"/>
    </w:rPr>
  </w:style>
  <w:style w:type="paragraph" w:styleId="3">
    <w:name w:val="heading 1"/>
    <w:basedOn w:val="1"/>
    <w:next w:val="1"/>
    <w:link w:val="7"/>
    <w:qFormat/>
    <w:uiPriority w:val="9"/>
    <w:pPr>
      <w:keepNext/>
      <w:keepLines/>
      <w:spacing w:before="340" w:after="330" w:line="578" w:lineRule="auto"/>
      <w:outlineLvl w:val="0"/>
    </w:pPr>
    <w:rPr>
      <w:b/>
      <w:bCs/>
      <w:kern w:val="44"/>
      <w:sz w:val="44"/>
      <w:szCs w:val="44"/>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Arial" w:hAnsi="Arial" w:cs="Arial"/>
      <w:b/>
      <w:bCs/>
      <w:sz w:val="32"/>
      <w:szCs w:val="32"/>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标题 1 Char"/>
    <w:basedOn w:val="6"/>
    <w:link w:val="3"/>
    <w:qFormat/>
    <w:uiPriority w:val="9"/>
    <w:rPr>
      <w:b/>
      <w:bCs/>
      <w:kern w:val="44"/>
      <w:sz w:val="44"/>
      <w:szCs w:val="44"/>
    </w:rPr>
  </w:style>
  <w:style w:type="paragraph" w:customStyle="1" w:styleId="8">
    <w:name w:val="四号正文"/>
    <w:basedOn w:val="1"/>
    <w:qFormat/>
    <w:uiPriority w:val="0"/>
    <w:pPr>
      <w:spacing w:line="360" w:lineRule="auto"/>
    </w:pPr>
    <w:rPr>
      <w:rFonts w:ascii="??" w:hAnsi="??" w:eastAsia="SimSun"/>
      <w:color w:val="000000"/>
      <w:kern w:val="0"/>
      <w:sz w:val="28"/>
      <w:szCs w:val="21"/>
      <w:lang w:val="zh-CN"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2023-11-07T02:08:00Z</dcterms:created>
  <dc:creator>Administrator</dc:creator>
  <cp:lastModifiedBy>碧云天</cp:lastModifiedBy>
  <dcterms:modified xsi:type="dcterms:W3CDTF">2024-03-27T07:51:18Z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AF340EB9FE5C4CAAA3D6536301E760EB</vt:lpwstr>
  </property>
</Properties>
</file>